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25511314" w14:textId="1B973DD9" w:rsidR="001C5121" w:rsidRDefault="0025469E" w:rsidP="001E56AC">
      <w:pPr>
        <w:jc w:val="center"/>
        <w:rPr>
          <w:sz w:val="48"/>
          <w:szCs w:val="48"/>
        </w:rPr>
      </w:pPr>
      <w:r>
        <w:rPr>
          <w:sz w:val="48"/>
          <w:szCs w:val="48"/>
        </w:rPr>
        <w:t>Windsor at Westside</w:t>
      </w:r>
    </w:p>
    <w:p w14:paraId="1D8F115F" w14:textId="0DDE5434" w:rsidR="00655185" w:rsidRPr="008D0F6E" w:rsidRDefault="00655185" w:rsidP="001E56AC">
      <w:pPr>
        <w:jc w:val="center"/>
        <w:rPr>
          <w:sz w:val="48"/>
          <w:szCs w:val="48"/>
        </w:rPr>
      </w:pPr>
      <w:r w:rsidRPr="008D0F6E">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359ED918" w:rsidR="00655185" w:rsidRPr="001E56AC" w:rsidRDefault="0025469E" w:rsidP="001E56AC">
      <w:pPr>
        <w:jc w:val="center"/>
        <w:rPr>
          <w:sz w:val="28"/>
          <w:szCs w:val="28"/>
        </w:rPr>
      </w:pPr>
      <w:r>
        <w:rPr>
          <w:sz w:val="28"/>
          <w:szCs w:val="28"/>
        </w:rPr>
        <w:t>August</w:t>
      </w:r>
      <w:r w:rsidR="00553234">
        <w:rPr>
          <w:sz w:val="28"/>
          <w:szCs w:val="28"/>
        </w:rPr>
        <w:t xml:space="preserve"> 1, 201</w:t>
      </w:r>
      <w:r w:rsidR="00FC0334">
        <w:rPr>
          <w:sz w:val="28"/>
          <w:szCs w:val="28"/>
        </w:rPr>
        <w:t>9</w:t>
      </w: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3BBA7532" w:rsidR="00A77C66" w:rsidRDefault="00A77C66" w:rsidP="009D554C">
      <w:pPr>
        <w:jc w:val="center"/>
      </w:pPr>
      <w:r>
        <w:t>By:</w:t>
      </w:r>
      <w:r>
        <w:tab/>
        <w:t>Governme</w:t>
      </w:r>
      <w:r w:rsidR="00C8244D">
        <w:t>ntal Management Services-</w:t>
      </w:r>
      <w:r w:rsidR="008D0F6E">
        <w:t>Central</w:t>
      </w:r>
      <w:r>
        <w:t xml:space="preserve"> Florida, LLC</w:t>
      </w:r>
    </w:p>
    <w:p w14:paraId="58A39716" w14:textId="77777777" w:rsidR="008A6F28" w:rsidRDefault="008A6F28" w:rsidP="008A6F28">
      <w:pPr>
        <w:jc w:val="center"/>
      </w:pPr>
      <w:r>
        <w:t>219 E. Livingston Street</w:t>
      </w:r>
    </w:p>
    <w:p w14:paraId="1316358F" w14:textId="77777777" w:rsidR="00E438AA" w:rsidRDefault="00E438AA" w:rsidP="00E438AA">
      <w:pPr>
        <w:jc w:val="center"/>
      </w:pPr>
      <w:r>
        <w:t>Orlando, Florida  32801</w:t>
      </w:r>
    </w:p>
    <w:p w14:paraId="226576FA" w14:textId="77777777" w:rsidR="009D554C" w:rsidRDefault="009D554C" w:rsidP="00A77C66">
      <w:pPr>
        <w:jc w:val="center"/>
      </w:pPr>
    </w:p>
    <w:p w14:paraId="118029F6" w14:textId="2B139D46" w:rsidR="00A77C66" w:rsidRDefault="00A77C66" w:rsidP="00A77C66">
      <w:pPr>
        <w:jc w:val="center"/>
      </w:pPr>
      <w:r>
        <w:t>Table o</w:t>
      </w:r>
      <w:r w:rsidR="00B2279A">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03B64B8B" w:rsidR="00A77C66" w:rsidRDefault="00A77C66" w:rsidP="00A77C66">
      <w:pPr>
        <w:pStyle w:val="ListParagraph"/>
        <w:numPr>
          <w:ilvl w:val="0"/>
          <w:numId w:val="5"/>
        </w:numPr>
      </w:pPr>
      <w:r>
        <w:t>Propo</w:t>
      </w:r>
      <w:r w:rsidR="003B2D1C">
        <w:t xml:space="preserve">sed Expansion Over </w:t>
      </w:r>
      <w:r w:rsidR="008D0F6E">
        <w:t>t</w:t>
      </w:r>
      <w:r w:rsidR="003B2D1C">
        <w:t xml:space="preserve">he Next </w:t>
      </w:r>
      <w:r w:rsidR="000231E1">
        <w:t>7</w:t>
      </w:r>
      <w:r>
        <w:t xml:space="preserve"> Years</w:t>
      </w:r>
    </w:p>
    <w:p w14:paraId="4A6E1BEC" w14:textId="77777777" w:rsidR="000231E1" w:rsidRDefault="000231E1" w:rsidP="000231E1">
      <w:pPr>
        <w:pStyle w:val="ListParagraph"/>
      </w:pPr>
    </w:p>
    <w:p w14:paraId="4F05BB79" w14:textId="77777777" w:rsidR="008D0F6E" w:rsidRDefault="008D0F6E" w:rsidP="008D0F6E">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3063D13B" w:rsidR="00655185" w:rsidRDefault="0025469E">
      <w:r>
        <w:t>Windsor at Westside</w:t>
      </w:r>
      <w:r w:rsidR="000558A2">
        <w:t xml:space="preserve"> </w:t>
      </w:r>
      <w:r w:rsidR="00655185">
        <w:t>Community Development District</w:t>
      </w:r>
    </w:p>
    <w:p w14:paraId="3F5CE69D" w14:textId="16A5F52A" w:rsidR="00655185" w:rsidRDefault="0025469E">
      <w:r>
        <w:t>August</w:t>
      </w:r>
      <w:r w:rsidR="002635C4">
        <w:t xml:space="preserve"> </w:t>
      </w:r>
      <w:r w:rsidR="000231E1">
        <w:t>1</w:t>
      </w:r>
      <w:r w:rsidR="001E56AC" w:rsidRPr="009E0BE7">
        <w:t xml:space="preserve">, </w:t>
      </w:r>
      <w:r w:rsidR="00A77C66" w:rsidRPr="009E0BE7">
        <w:t>201</w:t>
      </w:r>
      <w:r w:rsidR="006975B2">
        <w:t>9</w:t>
      </w:r>
    </w:p>
    <w:p w14:paraId="1E8B8E09" w14:textId="77777777" w:rsidR="00707DF6" w:rsidRDefault="00707DF6"/>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3F95C8A7" w:rsidR="00655185" w:rsidRPr="00B3395E" w:rsidRDefault="00A77C66" w:rsidP="001E56AC">
      <w:pPr>
        <w:jc w:val="both"/>
      </w:pPr>
      <w:r w:rsidRPr="00B3395E">
        <w:t xml:space="preserve">This report is provided </w:t>
      </w:r>
      <w:r w:rsidR="009D554C">
        <w:t>for</w:t>
      </w:r>
      <w:r w:rsidR="009D5625">
        <w:t xml:space="preserve"> </w:t>
      </w:r>
      <w:r w:rsidR="0025469E">
        <w:t xml:space="preserve">Windsor at Westside </w:t>
      </w:r>
      <w:r w:rsidR="00553234">
        <w:t>C</w:t>
      </w:r>
      <w:r w:rsidR="00193989" w:rsidRPr="00B3395E">
        <w:t>ommunity Development District (</w:t>
      </w:r>
      <w:r w:rsidR="0073675E">
        <w:t xml:space="preserve"> the </w:t>
      </w:r>
      <w:r w:rsidR="00193989" w:rsidRPr="00B3395E">
        <w:t xml:space="preserve">“District”) as an obligation under </w:t>
      </w:r>
      <w:r w:rsidR="00D80548">
        <w:t>Section 189.08,</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62386C19" w:rsidR="00655185" w:rsidRPr="00244D8E" w:rsidRDefault="009D5625" w:rsidP="00244D8E">
      <w:pPr>
        <w:jc w:val="both"/>
      </w:pPr>
      <w:r>
        <w:t xml:space="preserve">The District is a local unit of special purpose government </w:t>
      </w:r>
      <w:r w:rsidR="000558A2">
        <w:t>of the State of Florida (the ”State”) created in accordance with the Uniform Community Development District Act of 1980, Florida Statutes, as amended (the ”Act”), by Ordinance No. 201</w:t>
      </w:r>
      <w:r w:rsidR="0025469E">
        <w:t>4</w:t>
      </w:r>
      <w:r w:rsidR="000558A2">
        <w:t>-</w:t>
      </w:r>
      <w:r w:rsidR="0025469E">
        <w:t>156</w:t>
      </w:r>
      <w:r w:rsidR="00C36BBA">
        <w:t xml:space="preserve"> </w:t>
      </w:r>
      <w:r w:rsidR="0025469E">
        <w:t>enacted by the Board of County Commissioners of Osceola County, Florida on October 20, 2014 and effective on October 22, 2014.  The b</w:t>
      </w:r>
      <w:r w:rsidR="00941EF9">
        <w:t>oundaries of the District include approximately</w:t>
      </w:r>
      <w:r w:rsidR="00EB3007">
        <w:t xml:space="preserve"> 106.25 acres of land located in an unincorporated area in northwestern Osceola County.  The District lands are being developed as a residential community know as Windsor at Westside.  The Development is being developed as a residential planned development in two phases and planned to contain approximately 600 residential units.</w:t>
      </w:r>
      <w:r w:rsidR="00C36BBA">
        <w:t xml:space="preserve"> </w:t>
      </w:r>
    </w:p>
    <w:p w14:paraId="282598EF" w14:textId="77777777" w:rsidR="00655185" w:rsidRDefault="00655185" w:rsidP="00244D8E">
      <w:pPr>
        <w:jc w:val="both"/>
      </w:pPr>
    </w:p>
    <w:p w14:paraId="4568C0DF" w14:textId="75A731D0" w:rsidR="00655185" w:rsidRDefault="00655185"/>
    <w:p w14:paraId="2A2EE3A3" w14:textId="77777777" w:rsidR="00244398" w:rsidRDefault="00244398"/>
    <w:p w14:paraId="68ADB2D1" w14:textId="253CAC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23B123CE" w14:textId="5DB74FC1" w:rsidR="00F87631" w:rsidRDefault="00F87631">
      <w:pPr>
        <w:rPr>
          <w:b/>
        </w:rPr>
      </w:pPr>
    </w:p>
    <w:p w14:paraId="5C7B889C" w14:textId="5DAE34AE" w:rsidR="00F87631" w:rsidRDefault="00F87631">
      <w:pPr>
        <w:rPr>
          <w:b/>
        </w:rPr>
      </w:pPr>
    </w:p>
    <w:p w14:paraId="7F27DD09" w14:textId="77777777" w:rsidR="00B327BA" w:rsidRDefault="00B327BA">
      <w:pPr>
        <w:rPr>
          <w:b/>
        </w:rPr>
      </w:pP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02A5B003" w14:textId="781A56EE" w:rsidR="00100F69" w:rsidRPr="000A5DCF" w:rsidRDefault="000A5DCF" w:rsidP="000A5DCF">
      <w:pPr>
        <w:pStyle w:val="ListParagraph"/>
        <w:numPr>
          <w:ilvl w:val="0"/>
          <w:numId w:val="7"/>
        </w:numPr>
        <w:jc w:val="both"/>
        <w:rPr>
          <w:bCs/>
          <w:i/>
          <w:iCs/>
        </w:rPr>
      </w:pPr>
      <w:r>
        <w:rPr>
          <w:bCs/>
          <w:i/>
          <w:iCs/>
        </w:rPr>
        <w:t>See the attached Engineers Report dated November 2014</w:t>
      </w:r>
    </w:p>
    <w:p w14:paraId="3E3B8E59" w14:textId="295E1DF3" w:rsidR="000231E1" w:rsidRDefault="00564434" w:rsidP="003A1BAF">
      <w:pPr>
        <w:ind w:left="1440"/>
        <w:jc w:val="both"/>
        <w:rPr>
          <w:bCs/>
          <w:i/>
          <w:iCs/>
        </w:rPr>
      </w:pPr>
      <w:r w:rsidRPr="00100F69">
        <w:rPr>
          <w:bCs/>
          <w:i/>
          <w:iCs/>
        </w:rPr>
        <w:t xml:space="preserve">  </w:t>
      </w:r>
    </w:p>
    <w:p w14:paraId="726AB6A3" w14:textId="42E32D0C" w:rsidR="009D554C" w:rsidRDefault="009D554C" w:rsidP="009D554C">
      <w:pPr>
        <w:pStyle w:val="ListParagraph"/>
        <w:numPr>
          <w:ilvl w:val="0"/>
          <w:numId w:val="6"/>
        </w:numPr>
        <w:rPr>
          <w:b/>
        </w:rPr>
      </w:pPr>
      <w:r>
        <w:rPr>
          <w:b/>
        </w:rPr>
        <w:t>Current Capacity of Facility</w:t>
      </w:r>
    </w:p>
    <w:p w14:paraId="535B6068" w14:textId="4D7FA385" w:rsidR="000A5DCF" w:rsidRPr="000A5DCF" w:rsidRDefault="000A5DCF" w:rsidP="000A5DCF">
      <w:pPr>
        <w:pStyle w:val="ListParagraph"/>
        <w:numPr>
          <w:ilvl w:val="0"/>
          <w:numId w:val="7"/>
        </w:numPr>
        <w:jc w:val="both"/>
        <w:rPr>
          <w:bCs/>
          <w:i/>
          <w:iCs/>
        </w:rPr>
      </w:pPr>
      <w:r>
        <w:rPr>
          <w:bCs/>
          <w:i/>
          <w:iCs/>
        </w:rPr>
        <w:t>See the attached Engineers Report dated November 2014</w:t>
      </w:r>
    </w:p>
    <w:p w14:paraId="20440293" w14:textId="738E48F3" w:rsidR="000231E1" w:rsidRDefault="000231E1" w:rsidP="000231E1">
      <w:pPr>
        <w:pStyle w:val="ListParagraph"/>
        <w:ind w:left="1440"/>
        <w:rPr>
          <w:bCs/>
          <w:i/>
          <w:iCs/>
        </w:rPr>
      </w:pPr>
    </w:p>
    <w:p w14:paraId="713223CB" w14:textId="77777777" w:rsidR="00623EFD" w:rsidRPr="000231E1" w:rsidRDefault="00623EFD" w:rsidP="000231E1">
      <w:pPr>
        <w:pStyle w:val="ListParagraph"/>
        <w:ind w:left="1440"/>
        <w:rPr>
          <w:bCs/>
          <w:i/>
          <w:iCs/>
        </w:rPr>
      </w:pPr>
    </w:p>
    <w:p w14:paraId="11FFA9D6" w14:textId="526F83D7" w:rsidR="009D554C" w:rsidRDefault="009D554C" w:rsidP="009D554C">
      <w:pPr>
        <w:pStyle w:val="ListParagraph"/>
        <w:numPr>
          <w:ilvl w:val="0"/>
          <w:numId w:val="6"/>
        </w:numPr>
        <w:rPr>
          <w:b/>
        </w:rPr>
      </w:pPr>
      <w:r>
        <w:rPr>
          <w:b/>
        </w:rPr>
        <w:t>Current demands placed on it</w:t>
      </w:r>
    </w:p>
    <w:p w14:paraId="0547D28F" w14:textId="35A1EB33" w:rsidR="000A5DCF" w:rsidRPr="000A5DCF" w:rsidRDefault="000A5DCF" w:rsidP="000A5DCF">
      <w:pPr>
        <w:pStyle w:val="ListParagraph"/>
        <w:numPr>
          <w:ilvl w:val="0"/>
          <w:numId w:val="7"/>
        </w:numPr>
        <w:jc w:val="both"/>
        <w:rPr>
          <w:bCs/>
          <w:i/>
          <w:iCs/>
        </w:rPr>
      </w:pPr>
      <w:bookmarkStart w:id="0" w:name="_GoBack"/>
      <w:bookmarkEnd w:id="0"/>
      <w:r>
        <w:rPr>
          <w:bCs/>
          <w:i/>
          <w:iCs/>
        </w:rPr>
        <w:t>See the attached Engineers Report dated November 2014</w:t>
      </w:r>
    </w:p>
    <w:p w14:paraId="1B21BF20" w14:textId="2F657CBC" w:rsidR="000231E1" w:rsidRPr="003A1BAF" w:rsidRDefault="000231E1" w:rsidP="000231E1">
      <w:pPr>
        <w:pStyle w:val="ListParagraph"/>
        <w:ind w:left="1440"/>
        <w:rPr>
          <w:bCs/>
          <w:i/>
          <w:iCs/>
        </w:rPr>
      </w:pPr>
    </w:p>
    <w:p w14:paraId="6AF017EA" w14:textId="77777777"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0B45617D" w14:textId="668BE80F" w:rsidR="009D554C" w:rsidRPr="000231E1" w:rsidRDefault="00840153" w:rsidP="009C7E31">
      <w:pPr>
        <w:pStyle w:val="ListParagraph"/>
        <w:ind w:left="1440"/>
        <w:jc w:val="both"/>
        <w:rPr>
          <w:bCs/>
        </w:rPr>
      </w:pPr>
      <w:r>
        <w:t xml:space="preserve">The </w:t>
      </w:r>
      <w:r w:rsidR="00EB3007">
        <w:t>Development lies entirely within an unincorporated portion of Osceola County near the region known as “Four Corners” (the convergence of the Counties of lake, Orange, Osceola and Polk).  The Development is located east of Westside Boulevard and south of N. Goodman Road and includes approximately 160.25 acres of land.</w:t>
      </w: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2F2ABAAB" w14:textId="76C5044E" w:rsidR="00956D95" w:rsidRDefault="000231E1">
      <w:r>
        <w:t>-</w:t>
      </w:r>
      <w:r w:rsidR="00244D8E">
        <w:t>There are currently no plans to replace the District’s public facilities.</w:t>
      </w:r>
    </w:p>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BB9C" w14:textId="77777777" w:rsidR="00E52BCA" w:rsidRDefault="00E52BCA" w:rsidP="00655185">
      <w:r>
        <w:separator/>
      </w:r>
    </w:p>
  </w:endnote>
  <w:endnote w:type="continuationSeparator" w:id="0">
    <w:p w14:paraId="0478225A" w14:textId="77777777" w:rsidR="00E52BCA" w:rsidRDefault="00E52BCA"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2086" w14:textId="77777777" w:rsidR="00E52BCA" w:rsidRDefault="00E52BCA" w:rsidP="00655185">
      <w:r>
        <w:separator/>
      </w:r>
    </w:p>
  </w:footnote>
  <w:footnote w:type="continuationSeparator" w:id="0">
    <w:p w14:paraId="7D747506" w14:textId="77777777" w:rsidR="00E52BCA" w:rsidRDefault="00E52BCA"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A0E"/>
    <w:multiLevelType w:val="hybridMultilevel"/>
    <w:tmpl w:val="E0907DEE"/>
    <w:lvl w:ilvl="0" w:tplc="CBD678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25724E"/>
    <w:multiLevelType w:val="hybridMultilevel"/>
    <w:tmpl w:val="48241390"/>
    <w:lvl w:ilvl="0" w:tplc="F8A454C4">
      <w:start w:val="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30DB0"/>
    <w:rsid w:val="000558A2"/>
    <w:rsid w:val="00062C81"/>
    <w:rsid w:val="000659CA"/>
    <w:rsid w:val="00081EA6"/>
    <w:rsid w:val="00087810"/>
    <w:rsid w:val="00094C28"/>
    <w:rsid w:val="000A5DCF"/>
    <w:rsid w:val="000A7282"/>
    <w:rsid w:val="00100F69"/>
    <w:rsid w:val="0014269C"/>
    <w:rsid w:val="00163425"/>
    <w:rsid w:val="00192293"/>
    <w:rsid w:val="00193989"/>
    <w:rsid w:val="001B7317"/>
    <w:rsid w:val="001C5121"/>
    <w:rsid w:val="001C6B14"/>
    <w:rsid w:val="001D41DC"/>
    <w:rsid w:val="001E56AC"/>
    <w:rsid w:val="001E740D"/>
    <w:rsid w:val="001F7BAD"/>
    <w:rsid w:val="00214C43"/>
    <w:rsid w:val="0022579F"/>
    <w:rsid w:val="00244398"/>
    <w:rsid w:val="00244D8E"/>
    <w:rsid w:val="0025469E"/>
    <w:rsid w:val="002635C4"/>
    <w:rsid w:val="00263F40"/>
    <w:rsid w:val="002B7BF0"/>
    <w:rsid w:val="002C10A7"/>
    <w:rsid w:val="002F6EF6"/>
    <w:rsid w:val="00326AD9"/>
    <w:rsid w:val="003A1BAF"/>
    <w:rsid w:val="003B005D"/>
    <w:rsid w:val="003B2D1C"/>
    <w:rsid w:val="003B4022"/>
    <w:rsid w:val="003B6FC8"/>
    <w:rsid w:val="00412093"/>
    <w:rsid w:val="00421B5A"/>
    <w:rsid w:val="00477F79"/>
    <w:rsid w:val="004A3D53"/>
    <w:rsid w:val="004E58BA"/>
    <w:rsid w:val="004F7C6A"/>
    <w:rsid w:val="005154C3"/>
    <w:rsid w:val="00553234"/>
    <w:rsid w:val="00564434"/>
    <w:rsid w:val="005733A3"/>
    <w:rsid w:val="005A035F"/>
    <w:rsid w:val="005A56E0"/>
    <w:rsid w:val="005E02CB"/>
    <w:rsid w:val="005E4458"/>
    <w:rsid w:val="00623EFD"/>
    <w:rsid w:val="00623F97"/>
    <w:rsid w:val="00655185"/>
    <w:rsid w:val="006975B2"/>
    <w:rsid w:val="006A1FFE"/>
    <w:rsid w:val="00707DF6"/>
    <w:rsid w:val="007204E9"/>
    <w:rsid w:val="0073675E"/>
    <w:rsid w:val="00745E61"/>
    <w:rsid w:val="00781AFB"/>
    <w:rsid w:val="00787F10"/>
    <w:rsid w:val="007B69C5"/>
    <w:rsid w:val="007C16E8"/>
    <w:rsid w:val="00833677"/>
    <w:rsid w:val="00840153"/>
    <w:rsid w:val="00850A74"/>
    <w:rsid w:val="008A6F28"/>
    <w:rsid w:val="008C5A3A"/>
    <w:rsid w:val="008D0F6E"/>
    <w:rsid w:val="008D3965"/>
    <w:rsid w:val="008F352A"/>
    <w:rsid w:val="0093165D"/>
    <w:rsid w:val="00941EF9"/>
    <w:rsid w:val="00956D95"/>
    <w:rsid w:val="009637F1"/>
    <w:rsid w:val="009C044A"/>
    <w:rsid w:val="009C7E31"/>
    <w:rsid w:val="009D554C"/>
    <w:rsid w:val="009D5625"/>
    <w:rsid w:val="009E0BE7"/>
    <w:rsid w:val="009E3D8C"/>
    <w:rsid w:val="00A37611"/>
    <w:rsid w:val="00A77C66"/>
    <w:rsid w:val="00A90B10"/>
    <w:rsid w:val="00A94A5E"/>
    <w:rsid w:val="00B00264"/>
    <w:rsid w:val="00B02384"/>
    <w:rsid w:val="00B04737"/>
    <w:rsid w:val="00B1403C"/>
    <w:rsid w:val="00B2279A"/>
    <w:rsid w:val="00B327BA"/>
    <w:rsid w:val="00B3395E"/>
    <w:rsid w:val="00B4155C"/>
    <w:rsid w:val="00B611C4"/>
    <w:rsid w:val="00B87DEE"/>
    <w:rsid w:val="00BC148E"/>
    <w:rsid w:val="00C36BBA"/>
    <w:rsid w:val="00C431FF"/>
    <w:rsid w:val="00C77ACF"/>
    <w:rsid w:val="00C8244D"/>
    <w:rsid w:val="00C9798F"/>
    <w:rsid w:val="00CA7051"/>
    <w:rsid w:val="00CB07C7"/>
    <w:rsid w:val="00CB221D"/>
    <w:rsid w:val="00CB3D9B"/>
    <w:rsid w:val="00D148DC"/>
    <w:rsid w:val="00D552C9"/>
    <w:rsid w:val="00D80548"/>
    <w:rsid w:val="00DC7D4E"/>
    <w:rsid w:val="00DE02E8"/>
    <w:rsid w:val="00E14B35"/>
    <w:rsid w:val="00E30160"/>
    <w:rsid w:val="00E438AA"/>
    <w:rsid w:val="00E5225D"/>
    <w:rsid w:val="00E52BCA"/>
    <w:rsid w:val="00E7131D"/>
    <w:rsid w:val="00E9269E"/>
    <w:rsid w:val="00EA23A4"/>
    <w:rsid w:val="00EB3007"/>
    <w:rsid w:val="00EE1AB8"/>
    <w:rsid w:val="00EF51CC"/>
    <w:rsid w:val="00F61DB9"/>
    <w:rsid w:val="00F87631"/>
    <w:rsid w:val="00FC03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Cesar Gms</cp:lastModifiedBy>
  <cp:revision>11</cp:revision>
  <cp:lastPrinted>2019-05-23T14:13:00Z</cp:lastPrinted>
  <dcterms:created xsi:type="dcterms:W3CDTF">2019-05-31T16:02:00Z</dcterms:created>
  <dcterms:modified xsi:type="dcterms:W3CDTF">2019-12-30T20:21:00Z</dcterms:modified>
</cp:coreProperties>
</file>